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F0674" w14:textId="3DAC18D8" w:rsidR="00377C5D" w:rsidRDefault="005E6A06" w:rsidP="00DD06E3">
      <w:pPr>
        <w:jc w:val="center"/>
        <w:rPr>
          <w:rFonts w:ascii="Times New Roman" w:eastAsia="Calibri" w:hAnsi="Times New Roman" w:cs="Times New Roman"/>
          <w:b/>
          <w:lang w:val="en-US"/>
        </w:rPr>
      </w:pPr>
      <w:r w:rsidRPr="00562282">
        <w:rPr>
          <w:noProof/>
          <w:lang w:eastAsia="hu-HU"/>
        </w:rPr>
        <w:drawing>
          <wp:inline distT="0" distB="0" distL="0" distR="0" wp14:anchorId="3DD2816B" wp14:editId="4FBBB837">
            <wp:extent cx="1176918" cy="1514475"/>
            <wp:effectExtent l="0" t="0" r="4445" b="0"/>
            <wp:docPr id="1" name="Ké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7358" cy="1656590"/>
                    </a:xfrm>
                    <a:prstGeom prst="rect">
                      <a:avLst/>
                    </a:prstGeom>
                  </pic:spPr>
                </pic:pic>
              </a:graphicData>
            </a:graphic>
          </wp:inline>
        </w:drawing>
      </w:r>
    </w:p>
    <w:p w14:paraId="0DACCB42" w14:textId="057391C6" w:rsidR="005E6A06" w:rsidRPr="00DD06E3" w:rsidRDefault="00DD06E3" w:rsidP="00DD06E3">
      <w:pPr>
        <w:jc w:val="center"/>
        <w:rPr>
          <w:rFonts w:ascii="Times New Roman" w:eastAsia="Calibri" w:hAnsi="Times New Roman" w:cs="Times New Roman"/>
          <w:b/>
          <w:color w:val="BFBFBF" w:themeColor="background1" w:themeShade="BF"/>
          <w:lang w:val="en-US"/>
        </w:rPr>
      </w:pPr>
      <w:r w:rsidRPr="00DD06E3">
        <w:rPr>
          <w:rFonts w:ascii="Times New Roman" w:eastAsia="Calibri" w:hAnsi="Times New Roman" w:cs="Times New Roman"/>
          <w:b/>
          <w:color w:val="BFBFBF" w:themeColor="background1" w:themeShade="BF"/>
          <w:lang w:val="en-US"/>
        </w:rPr>
        <w:t>Association of the European Network on Victims’ Rights</w:t>
      </w:r>
    </w:p>
    <w:p w14:paraId="11ABE1C7" w14:textId="1D0AD541" w:rsidR="005E6A06" w:rsidRPr="00DD06E3" w:rsidRDefault="00DD06E3" w:rsidP="00DD06E3">
      <w:pPr>
        <w:jc w:val="center"/>
        <w:rPr>
          <w:rFonts w:ascii="Times New Roman" w:eastAsia="Calibri" w:hAnsi="Times New Roman" w:cs="Times New Roman"/>
          <w:b/>
          <w:color w:val="BFBFBF" w:themeColor="background1" w:themeShade="BF"/>
          <w:lang w:val="en-US"/>
        </w:rPr>
      </w:pPr>
      <w:r>
        <w:rPr>
          <w:rFonts w:ascii="Times New Roman" w:eastAsia="Calibri" w:hAnsi="Times New Roman" w:cs="Times New Roman"/>
          <w:b/>
          <w:color w:val="BFBFBF" w:themeColor="background1" w:themeShade="BF"/>
          <w:lang w:val="en-US"/>
        </w:rPr>
        <w:t>ENVR 2022 SPRING CONFERENCE 23-24 MAY STRASBOURG, FRANCE</w:t>
      </w:r>
    </w:p>
    <w:p w14:paraId="71426502" w14:textId="43A3DAC8" w:rsidR="005E6A06" w:rsidRDefault="005E6A06" w:rsidP="00377C5D">
      <w:pPr>
        <w:jc w:val="both"/>
        <w:rPr>
          <w:rFonts w:ascii="Times New Roman" w:eastAsia="Calibri" w:hAnsi="Times New Roman" w:cs="Times New Roman"/>
          <w:b/>
          <w:lang w:val="en-US"/>
        </w:rPr>
      </w:pPr>
    </w:p>
    <w:p w14:paraId="000CFF08" w14:textId="6C3DD314" w:rsidR="00DD06E3" w:rsidRPr="00DD06E3" w:rsidRDefault="00DD06E3" w:rsidP="00072642">
      <w:pPr>
        <w:jc w:val="center"/>
        <w:rPr>
          <w:rFonts w:ascii="Times New Roman" w:eastAsia="Calibri" w:hAnsi="Times New Roman" w:cs="Times New Roman"/>
          <w:b/>
          <w:lang w:val="en-US"/>
        </w:rPr>
      </w:pPr>
      <w:r>
        <w:rPr>
          <w:rFonts w:ascii="Times New Roman" w:eastAsia="Calibri" w:hAnsi="Times New Roman" w:cs="Times New Roman"/>
          <w:b/>
          <w:lang w:val="en-US"/>
        </w:rPr>
        <w:t xml:space="preserve">Compensation Workshop II - </w:t>
      </w:r>
      <w:r w:rsidR="00072642">
        <w:rPr>
          <w:rFonts w:ascii="Times New Roman" w:eastAsia="Calibri" w:hAnsi="Times New Roman" w:cs="Times New Roman"/>
          <w:b/>
          <w:lang w:val="en-US"/>
        </w:rPr>
        <w:t>methods of registering and analyzing compensation cases</w:t>
      </w:r>
    </w:p>
    <w:p w14:paraId="600BA592" w14:textId="5E2C5D03" w:rsidR="00DD06E3" w:rsidRDefault="00072642" w:rsidP="00072642">
      <w:pPr>
        <w:jc w:val="center"/>
        <w:rPr>
          <w:rFonts w:ascii="Times New Roman" w:eastAsia="Calibri" w:hAnsi="Times New Roman" w:cs="Times New Roman"/>
          <w:b/>
          <w:lang w:val="en-US"/>
        </w:rPr>
      </w:pPr>
      <w:r w:rsidRPr="00072642">
        <w:rPr>
          <w:rFonts w:ascii="Times New Roman" w:eastAsia="Calibri" w:hAnsi="Times New Roman" w:cs="Times New Roman"/>
          <w:b/>
          <w:lang w:val="en-US"/>
        </w:rPr>
        <w:t>Discussion Paper</w:t>
      </w:r>
    </w:p>
    <w:p w14:paraId="66F93253" w14:textId="77777777" w:rsidR="00072642" w:rsidRPr="00072642" w:rsidRDefault="00072642" w:rsidP="00072642">
      <w:pPr>
        <w:jc w:val="center"/>
        <w:rPr>
          <w:rFonts w:ascii="Times New Roman" w:eastAsia="Calibri" w:hAnsi="Times New Roman" w:cs="Times New Roman"/>
          <w:b/>
          <w:lang w:val="en-US"/>
        </w:rPr>
      </w:pPr>
    </w:p>
    <w:p w14:paraId="48F5EF14" w14:textId="3853F4E7" w:rsidR="00377C5D" w:rsidRPr="00983DA2" w:rsidRDefault="00377C5D" w:rsidP="00377C5D">
      <w:pPr>
        <w:jc w:val="both"/>
        <w:rPr>
          <w:rFonts w:ascii="Times New Roman" w:eastAsia="Calibri" w:hAnsi="Times New Roman" w:cs="Times New Roman"/>
          <w:b/>
          <w:u w:val="single"/>
          <w:lang w:val="en-US"/>
        </w:rPr>
      </w:pPr>
      <w:r w:rsidRPr="00983DA2">
        <w:rPr>
          <w:rFonts w:ascii="Times New Roman" w:eastAsia="Calibri" w:hAnsi="Times New Roman" w:cs="Times New Roman"/>
          <w:b/>
          <w:u w:val="single"/>
          <w:lang w:val="en-US"/>
        </w:rPr>
        <w:t>EU Legal Framework</w:t>
      </w:r>
    </w:p>
    <w:p w14:paraId="1DE19B79" w14:textId="77777777" w:rsidR="00377C5D" w:rsidRPr="00377C5D" w:rsidRDefault="00377C5D" w:rsidP="00377C5D">
      <w:pPr>
        <w:jc w:val="both"/>
        <w:rPr>
          <w:rFonts w:ascii="Times New Roman" w:eastAsia="Calibri" w:hAnsi="Times New Roman" w:cs="Times New Roman"/>
          <w:lang w:val="en-US"/>
        </w:rPr>
      </w:pPr>
      <w:r w:rsidRPr="00377C5D">
        <w:rPr>
          <w:rFonts w:ascii="Times New Roman" w:eastAsia="Calibri" w:hAnsi="Times New Roman" w:cs="Times New Roman"/>
          <w:b/>
          <w:lang w:val="en-US"/>
        </w:rPr>
        <w:t>The 2004 Compensation Directive</w:t>
      </w:r>
      <w:r w:rsidRPr="00377C5D">
        <w:rPr>
          <w:rStyle w:val="Lbjegyzet-hivatkozs"/>
          <w:rFonts w:ascii="Times New Roman" w:eastAsia="Calibri" w:hAnsi="Times New Roman" w:cs="Times New Roman"/>
          <w:b/>
          <w:lang w:val="en-US"/>
        </w:rPr>
        <w:footnoteReference w:id="1"/>
      </w:r>
      <w:r w:rsidRPr="00377C5D">
        <w:rPr>
          <w:rFonts w:ascii="Times New Roman" w:eastAsia="Calibri" w:hAnsi="Times New Roman" w:cs="Times New Roman"/>
          <w:lang w:val="en-US"/>
        </w:rPr>
        <w:t xml:space="preserve"> deals with state compensation. It requires Member States to set up national compensation schemes and give access to all victims who suffered intentional violent crime, committed in their territories. The Directive also sets up a Union-wide cooperation system to enhance victims’ access to compensation in cross-border situations.  </w:t>
      </w:r>
    </w:p>
    <w:p w14:paraId="3629C959" w14:textId="6D373EC9" w:rsidR="00377C5D" w:rsidRDefault="00377C5D" w:rsidP="00377C5D">
      <w:pPr>
        <w:autoSpaceDE w:val="0"/>
        <w:autoSpaceDN w:val="0"/>
        <w:adjustRightInd w:val="0"/>
        <w:spacing w:before="200"/>
        <w:jc w:val="both"/>
        <w:rPr>
          <w:rFonts w:ascii="Times New Roman" w:eastAsia="Calibri" w:hAnsi="Times New Roman" w:cs="Times New Roman"/>
          <w:lang w:val="en-US"/>
        </w:rPr>
      </w:pPr>
      <w:r w:rsidRPr="00377C5D">
        <w:rPr>
          <w:rFonts w:ascii="Times New Roman" w:eastAsia="Calibri" w:hAnsi="Times New Roman" w:cs="Times New Roman"/>
          <w:b/>
          <w:lang w:val="en-GB"/>
        </w:rPr>
        <w:t>T</w:t>
      </w:r>
      <w:r w:rsidRPr="00377C5D">
        <w:rPr>
          <w:rFonts w:ascii="Times New Roman" w:eastAsia="Calibri" w:hAnsi="Times New Roman" w:cs="Times New Roman"/>
          <w:b/>
          <w:lang w:val="en-US"/>
        </w:rPr>
        <w:t>he 2012 Victims' Rights Directive</w:t>
      </w:r>
      <w:r w:rsidRPr="00377C5D">
        <w:rPr>
          <w:rFonts w:ascii="Times New Roman" w:eastAsia="Calibri" w:hAnsi="Times New Roman" w:cs="Times New Roman"/>
          <w:b/>
          <w:vertAlign w:val="superscript"/>
          <w:lang w:val="en-US"/>
        </w:rPr>
        <w:footnoteReference w:id="2"/>
      </w:r>
      <w:r w:rsidRPr="00377C5D">
        <w:rPr>
          <w:rFonts w:ascii="Times New Roman" w:eastAsia="Calibri" w:hAnsi="Times New Roman" w:cs="Times New Roman"/>
          <w:b/>
          <w:lang w:val="en-US"/>
        </w:rPr>
        <w:t xml:space="preserve"> </w:t>
      </w:r>
      <w:r w:rsidRPr="00377C5D">
        <w:rPr>
          <w:rFonts w:ascii="Times New Roman" w:eastAsia="Calibri" w:hAnsi="Times New Roman" w:cs="Times New Roman"/>
          <w:lang w:val="en-US"/>
        </w:rPr>
        <w:t>provides for right to access to information about victims' rights, including on how and under what conditions victims can access compensation (Article 4) and for rights to legal aid – although limited to victims who have the status of parties to criminal proceedings and under conditions determined by national law (Article 13). Also, the victims' right to access general and specialist support services (Articles 8 and 9) is relevant in the context of facilitating victims' access to compensation.</w:t>
      </w:r>
    </w:p>
    <w:p w14:paraId="15579B82" w14:textId="4C5DF462" w:rsidR="00BD7912" w:rsidRPr="008B2BCF" w:rsidRDefault="005E6A06" w:rsidP="00BD7912">
      <w:pPr>
        <w:jc w:val="both"/>
        <w:rPr>
          <w:rFonts w:ascii="Times New Roman" w:hAnsi="Times New Roman" w:cs="Times New Roman"/>
          <w:noProof/>
        </w:rPr>
      </w:pPr>
      <w:r w:rsidRPr="008B2BCF">
        <w:rPr>
          <w:rFonts w:ascii="Times New Roman" w:eastAsia="Calibri" w:hAnsi="Times New Roman" w:cs="Times New Roman"/>
          <w:b/>
          <w:bCs/>
          <w:lang w:val="en-US"/>
        </w:rPr>
        <w:t xml:space="preserve">The </w:t>
      </w:r>
      <w:r w:rsidR="00302519" w:rsidRPr="008B2BCF">
        <w:rPr>
          <w:rFonts w:ascii="Times New Roman" w:eastAsia="Calibri" w:hAnsi="Times New Roman" w:cs="Times New Roman"/>
          <w:b/>
          <w:bCs/>
          <w:lang w:val="en-US"/>
        </w:rPr>
        <w:t>EU Strategy on victims’ rights</w:t>
      </w:r>
      <w:r w:rsidR="00BD7912" w:rsidRPr="008B2BCF">
        <w:rPr>
          <w:rFonts w:ascii="Times New Roman" w:eastAsia="Calibri" w:hAnsi="Times New Roman" w:cs="Times New Roman"/>
          <w:b/>
          <w:bCs/>
          <w:lang w:val="en-US"/>
        </w:rPr>
        <w:t xml:space="preserve"> (2022-2025)</w:t>
      </w:r>
      <w:r w:rsidR="00BD7912" w:rsidRPr="008B2BCF">
        <w:rPr>
          <w:rStyle w:val="Lbjegyzet-hivatkozs"/>
          <w:rFonts w:ascii="Times New Roman" w:eastAsia="Calibri" w:hAnsi="Times New Roman" w:cs="Times New Roman"/>
          <w:b/>
          <w:bCs/>
          <w:lang w:val="en-US"/>
        </w:rPr>
        <w:footnoteReference w:id="3"/>
      </w:r>
      <w:r w:rsidR="00302519" w:rsidRPr="008B2BCF">
        <w:rPr>
          <w:rFonts w:ascii="Times New Roman" w:eastAsia="Calibri" w:hAnsi="Times New Roman" w:cs="Times New Roman"/>
          <w:b/>
          <w:bCs/>
          <w:lang w:val="en-US"/>
        </w:rPr>
        <w:t xml:space="preserve"> </w:t>
      </w:r>
      <w:r w:rsidR="006D00FF" w:rsidRPr="008B2BCF">
        <w:rPr>
          <w:rFonts w:ascii="Times New Roman" w:eastAsia="Calibri" w:hAnsi="Times New Roman" w:cs="Times New Roman"/>
          <w:lang w:val="en-US"/>
        </w:rPr>
        <w:t>dealt with the effectiveness of compensation and stated that “</w:t>
      </w:r>
      <w:r w:rsidR="006D00FF" w:rsidRPr="008B2BCF">
        <w:rPr>
          <w:rFonts w:ascii="Times New Roman" w:hAnsi="Times New Roman" w:cs="Times New Roman"/>
          <w:noProof/>
          <w:lang w:val="en-GB"/>
        </w:rPr>
        <w:t xml:space="preserve">victims are often exposed to secondary victimisation during criminal proceedings and when claiming compensation. Those who become victims of crime when travelling abroad find it even more difficult to access justice and compensation. </w:t>
      </w:r>
      <w:r w:rsidR="006D00FF" w:rsidRPr="008B2BCF">
        <w:rPr>
          <w:rFonts w:ascii="Times New Roman" w:hAnsi="Times New Roman" w:cs="Times New Roman"/>
          <w:noProof/>
          <w:lang w:val="en-GB"/>
        </w:rPr>
        <w:sym w:font="Symbol" w:char="F05B"/>
      </w:r>
      <w:r w:rsidR="006D00FF" w:rsidRPr="008B2BCF">
        <w:rPr>
          <w:rFonts w:ascii="Times New Roman" w:hAnsi="Times New Roman" w:cs="Times New Roman"/>
          <w:noProof/>
          <w:lang w:val="en-GB"/>
        </w:rPr>
        <w:t>…</w:t>
      </w:r>
      <w:r w:rsidR="006D00FF" w:rsidRPr="008B2BCF">
        <w:rPr>
          <w:rFonts w:ascii="Times New Roman" w:hAnsi="Times New Roman" w:cs="Times New Roman"/>
          <w:noProof/>
          <w:lang w:val="en-GB"/>
        </w:rPr>
        <w:sym w:font="Symbol" w:char="F05D"/>
      </w:r>
      <w:r w:rsidR="006D00FF" w:rsidRPr="008B2BCF">
        <w:rPr>
          <w:rFonts w:ascii="Times New Roman" w:hAnsi="Times New Roman" w:cs="Times New Roman"/>
          <w:noProof/>
          <w:lang w:val="en-GB"/>
        </w:rPr>
        <w:t xml:space="preserve"> </w:t>
      </w:r>
      <w:r w:rsidR="00BD7912" w:rsidRPr="008B2BCF">
        <w:rPr>
          <w:rFonts w:ascii="Times New Roman" w:hAnsi="Times New Roman" w:cs="Times New Roman"/>
          <w:noProof/>
        </w:rPr>
        <w:t>In many Member States, victims’ access to compensation is difficult.</w:t>
      </w:r>
      <w:r w:rsidR="00435D03" w:rsidRPr="00435D03">
        <w:rPr>
          <w:rFonts w:ascii="Times New Roman" w:hAnsi="Times New Roman" w:cs="Times New Roman"/>
          <w:noProof/>
          <w:lang w:val="en-GB"/>
        </w:rPr>
        <w:t xml:space="preserve"> </w:t>
      </w:r>
      <w:r w:rsidR="00435D03" w:rsidRPr="008B2BCF">
        <w:rPr>
          <w:rFonts w:ascii="Times New Roman" w:hAnsi="Times New Roman" w:cs="Times New Roman"/>
          <w:noProof/>
          <w:lang w:val="en-GB"/>
        </w:rPr>
        <w:sym w:font="Symbol" w:char="F05B"/>
      </w:r>
      <w:r w:rsidR="00435D03" w:rsidRPr="008B2BCF">
        <w:rPr>
          <w:rFonts w:ascii="Times New Roman" w:hAnsi="Times New Roman" w:cs="Times New Roman"/>
          <w:noProof/>
          <w:lang w:val="en-GB"/>
        </w:rPr>
        <w:t>…</w:t>
      </w:r>
      <w:r w:rsidR="00435D03" w:rsidRPr="008B2BCF">
        <w:rPr>
          <w:rFonts w:ascii="Times New Roman" w:hAnsi="Times New Roman" w:cs="Times New Roman"/>
          <w:noProof/>
          <w:lang w:val="en-GB"/>
        </w:rPr>
        <w:sym w:font="Symbol" w:char="F05D"/>
      </w:r>
      <w:r w:rsidR="00BD7912" w:rsidRPr="008B2BCF">
        <w:rPr>
          <w:rFonts w:ascii="Times New Roman" w:hAnsi="Times New Roman" w:cs="Times New Roman"/>
          <w:noProof/>
        </w:rPr>
        <w:t xml:space="preserve"> All relevant actors should take steps, within their respective competences, to improve victims’ access to compensation. </w:t>
      </w:r>
      <w:r w:rsidR="00685DA5" w:rsidRPr="008B2BCF">
        <w:rPr>
          <w:rFonts w:ascii="Times New Roman" w:hAnsi="Times New Roman" w:cs="Times New Roman"/>
          <w:noProof/>
          <w:lang w:val="en-GB"/>
        </w:rPr>
        <w:sym w:font="Symbol" w:char="F05B"/>
      </w:r>
      <w:r w:rsidR="00685DA5" w:rsidRPr="008B2BCF">
        <w:rPr>
          <w:rFonts w:ascii="Times New Roman" w:hAnsi="Times New Roman" w:cs="Times New Roman"/>
          <w:noProof/>
          <w:lang w:val="en-GB"/>
        </w:rPr>
        <w:t>…</w:t>
      </w:r>
      <w:r w:rsidR="00685DA5" w:rsidRPr="008B2BCF">
        <w:rPr>
          <w:rFonts w:ascii="Times New Roman" w:hAnsi="Times New Roman" w:cs="Times New Roman"/>
          <w:noProof/>
          <w:lang w:val="en-GB"/>
        </w:rPr>
        <w:sym w:font="Symbol" w:char="F05D"/>
      </w:r>
      <w:r w:rsidR="00685DA5" w:rsidRPr="008B2BCF">
        <w:rPr>
          <w:rFonts w:ascii="Times New Roman" w:hAnsi="Times New Roman" w:cs="Times New Roman"/>
          <w:noProof/>
          <w:lang w:val="en-GB"/>
        </w:rPr>
        <w:t xml:space="preserve"> </w:t>
      </w:r>
      <w:r w:rsidR="00BD7912" w:rsidRPr="008B2BCF">
        <w:rPr>
          <w:rFonts w:ascii="Times New Roman" w:hAnsi="Times New Roman" w:cs="Times New Roman"/>
          <w:noProof/>
        </w:rPr>
        <w:t>Under the Victims’ Rights Directive, Member States shall also ensure that victims are informed from the first contact with the competent authorities how and under what circumstances they can access compensation. The Commission will encourage Member States to go beyond these minimum standards and ensure that victims are better informed about national schemes of compensation also by other means – such as general informative campaigns about victims’ rights and inter-active websites</w:t>
      </w:r>
      <w:r w:rsidR="00435D03">
        <w:rPr>
          <w:rFonts w:ascii="Times New Roman" w:hAnsi="Times New Roman" w:cs="Times New Roman"/>
          <w:noProof/>
        </w:rPr>
        <w:t>”</w:t>
      </w:r>
      <w:r w:rsidR="00BD7912" w:rsidRPr="008B2BCF">
        <w:rPr>
          <w:rFonts w:ascii="Times New Roman" w:hAnsi="Times New Roman" w:cs="Times New Roman"/>
          <w:noProof/>
        </w:rPr>
        <w:t xml:space="preserve">. </w:t>
      </w:r>
    </w:p>
    <w:p w14:paraId="30AF96DF" w14:textId="777960B8" w:rsidR="005E6A06" w:rsidRDefault="005E6A06" w:rsidP="00377C5D">
      <w:pPr>
        <w:autoSpaceDE w:val="0"/>
        <w:autoSpaceDN w:val="0"/>
        <w:adjustRightInd w:val="0"/>
        <w:spacing w:before="200"/>
        <w:jc w:val="both"/>
        <w:rPr>
          <w:rFonts w:ascii="Times New Roman" w:hAnsi="Times New Roman" w:cs="Times New Roman"/>
          <w:noProof/>
          <w:sz w:val="24"/>
          <w:szCs w:val="24"/>
        </w:rPr>
      </w:pPr>
    </w:p>
    <w:p w14:paraId="6DBDCFC1" w14:textId="2E157F4B" w:rsidR="00302519" w:rsidRDefault="008B2BCF" w:rsidP="00377C5D">
      <w:pPr>
        <w:autoSpaceDE w:val="0"/>
        <w:autoSpaceDN w:val="0"/>
        <w:adjustRightInd w:val="0"/>
        <w:spacing w:before="200"/>
        <w:jc w:val="both"/>
        <w:rPr>
          <w:rFonts w:ascii="Times New Roman" w:eastAsia="Calibri" w:hAnsi="Times New Roman" w:cs="Times New Roman"/>
          <w:lang w:val="en-US"/>
        </w:rPr>
      </w:pPr>
      <w:r>
        <w:rPr>
          <w:rFonts w:ascii="Times New Roman" w:hAnsi="Times New Roman" w:cs="Times New Roman"/>
          <w:noProof/>
          <w:sz w:val="24"/>
          <w:szCs w:val="24"/>
        </w:rPr>
        <w:t>***</w:t>
      </w:r>
    </w:p>
    <w:p w14:paraId="6FC031F6" w14:textId="5ED09AF8" w:rsidR="00302519" w:rsidRPr="00983DA2" w:rsidRDefault="00302519" w:rsidP="00377C5D">
      <w:pPr>
        <w:autoSpaceDE w:val="0"/>
        <w:autoSpaceDN w:val="0"/>
        <w:adjustRightInd w:val="0"/>
        <w:spacing w:before="200"/>
        <w:jc w:val="both"/>
        <w:rPr>
          <w:rFonts w:ascii="Times New Roman" w:eastAsia="Calibri" w:hAnsi="Times New Roman" w:cs="Times New Roman"/>
          <w:b/>
          <w:bCs/>
          <w:u w:val="single"/>
          <w:lang w:val="en-US"/>
        </w:rPr>
      </w:pPr>
      <w:r w:rsidRPr="00983DA2">
        <w:rPr>
          <w:rFonts w:ascii="Times New Roman" w:eastAsia="Calibri" w:hAnsi="Times New Roman" w:cs="Times New Roman"/>
          <w:b/>
          <w:bCs/>
          <w:u w:val="single"/>
          <w:lang w:val="en-US"/>
        </w:rPr>
        <w:t>The concept of the workshop</w:t>
      </w:r>
    </w:p>
    <w:p w14:paraId="408DD7C8" w14:textId="2735A35E" w:rsidR="001375CD" w:rsidRDefault="00302519" w:rsidP="001375CD">
      <w:pPr>
        <w:jc w:val="both"/>
        <w:rPr>
          <w:rFonts w:ascii="Times New Roman" w:eastAsia="Calibri" w:hAnsi="Times New Roman" w:cs="Times New Roman"/>
          <w:lang w:val="en-US"/>
        </w:rPr>
      </w:pPr>
      <w:r w:rsidRPr="001375CD">
        <w:rPr>
          <w:rFonts w:ascii="Times New Roman" w:eastAsia="Calibri" w:hAnsi="Times New Roman" w:cs="Times New Roman"/>
          <w:lang w:val="en-US"/>
        </w:rPr>
        <w:t xml:space="preserve">The workshop intends to </w:t>
      </w:r>
      <w:r w:rsidR="00983DA2" w:rsidRPr="001375CD">
        <w:rPr>
          <w:rFonts w:ascii="Times New Roman" w:eastAsia="Calibri" w:hAnsi="Times New Roman" w:cs="Times New Roman"/>
          <w:lang w:val="en-US"/>
        </w:rPr>
        <w:t xml:space="preserve">reveal </w:t>
      </w:r>
      <w:r w:rsidR="008F70A6">
        <w:rPr>
          <w:rFonts w:ascii="Times New Roman" w:eastAsia="Calibri" w:hAnsi="Times New Roman" w:cs="Times New Roman"/>
          <w:lang w:val="en-US"/>
        </w:rPr>
        <w:t>in general</w:t>
      </w:r>
    </w:p>
    <w:p w14:paraId="1583713D" w14:textId="4BBF5F0F" w:rsidR="001375CD" w:rsidRDefault="00983DA2" w:rsidP="001375CD">
      <w:pPr>
        <w:pStyle w:val="Listaszerbekezds"/>
        <w:numPr>
          <w:ilvl w:val="0"/>
          <w:numId w:val="2"/>
        </w:numPr>
        <w:jc w:val="both"/>
        <w:rPr>
          <w:rFonts w:ascii="Times New Roman" w:eastAsia="Calibri" w:hAnsi="Times New Roman" w:cs="Times New Roman"/>
          <w:lang w:val="en-US"/>
        </w:rPr>
      </w:pPr>
      <w:r w:rsidRPr="001375CD">
        <w:rPr>
          <w:rFonts w:ascii="Times New Roman" w:eastAsia="Calibri" w:hAnsi="Times New Roman" w:cs="Times New Roman"/>
          <w:lang w:val="en-US"/>
        </w:rPr>
        <w:t xml:space="preserve">the Member States’ mechanisms to register </w:t>
      </w:r>
      <w:r w:rsidR="00125C3A">
        <w:rPr>
          <w:rFonts w:ascii="Times New Roman" w:eastAsia="Calibri" w:hAnsi="Times New Roman" w:cs="Times New Roman"/>
          <w:lang w:val="en-US"/>
        </w:rPr>
        <w:t>(</w:t>
      </w:r>
      <w:r w:rsidRPr="001375CD">
        <w:rPr>
          <w:rFonts w:ascii="Times New Roman" w:eastAsia="Calibri" w:hAnsi="Times New Roman" w:cs="Times New Roman"/>
          <w:lang w:val="en-US"/>
        </w:rPr>
        <w:t>domestic and cross-border</w:t>
      </w:r>
      <w:r w:rsidR="00125C3A">
        <w:rPr>
          <w:rFonts w:ascii="Times New Roman" w:eastAsia="Calibri" w:hAnsi="Times New Roman" w:cs="Times New Roman"/>
          <w:lang w:val="en-US"/>
        </w:rPr>
        <w:t>)</w:t>
      </w:r>
      <w:r w:rsidRPr="001375CD">
        <w:rPr>
          <w:rFonts w:ascii="Times New Roman" w:eastAsia="Calibri" w:hAnsi="Times New Roman" w:cs="Times New Roman"/>
          <w:lang w:val="en-US"/>
        </w:rPr>
        <w:t xml:space="preserve"> compensation cases</w:t>
      </w:r>
    </w:p>
    <w:p w14:paraId="6CE15B6B" w14:textId="7FBA75A5" w:rsidR="001375CD" w:rsidRDefault="00983DA2" w:rsidP="001375CD">
      <w:pPr>
        <w:pStyle w:val="Listaszerbekezds"/>
        <w:numPr>
          <w:ilvl w:val="0"/>
          <w:numId w:val="2"/>
        </w:numPr>
        <w:jc w:val="both"/>
        <w:rPr>
          <w:rFonts w:ascii="Times New Roman" w:eastAsia="Calibri" w:hAnsi="Times New Roman" w:cs="Times New Roman"/>
          <w:lang w:val="en-US"/>
        </w:rPr>
      </w:pPr>
      <w:r w:rsidRPr="001375CD">
        <w:rPr>
          <w:rFonts w:ascii="Times New Roman" w:eastAsia="Calibri" w:hAnsi="Times New Roman" w:cs="Times New Roman"/>
          <w:lang w:val="en-US"/>
        </w:rPr>
        <w:t>the type of the registered data and the available statistics related to the registered compensation cases</w:t>
      </w:r>
      <w:r w:rsidR="00310002">
        <w:rPr>
          <w:rFonts w:ascii="Times New Roman" w:eastAsia="Calibri" w:hAnsi="Times New Roman" w:cs="Times New Roman"/>
          <w:lang w:val="en-US"/>
        </w:rPr>
        <w:t xml:space="preserve"> (e.g. statistics based on the type of crime, on the characteristics of the victim)</w:t>
      </w:r>
    </w:p>
    <w:p w14:paraId="25BB1156" w14:textId="4A6A4727" w:rsidR="00297A49" w:rsidRDefault="00297A49" w:rsidP="001375CD">
      <w:pPr>
        <w:pStyle w:val="Listaszerbekezds"/>
        <w:numPr>
          <w:ilvl w:val="0"/>
          <w:numId w:val="2"/>
        </w:numPr>
        <w:jc w:val="both"/>
        <w:rPr>
          <w:rFonts w:ascii="Times New Roman" w:eastAsia="Calibri" w:hAnsi="Times New Roman" w:cs="Times New Roman"/>
          <w:lang w:val="en-US"/>
        </w:rPr>
      </w:pPr>
      <w:r>
        <w:rPr>
          <w:rFonts w:ascii="Times New Roman" w:eastAsia="Calibri" w:hAnsi="Times New Roman" w:cs="Times New Roman"/>
          <w:lang w:val="en-US"/>
        </w:rPr>
        <w:t xml:space="preserve">if there are studies / methodologies developed on the basis of the </w:t>
      </w:r>
      <w:r w:rsidR="00960138">
        <w:rPr>
          <w:rFonts w:ascii="Times New Roman" w:eastAsia="Calibri" w:hAnsi="Times New Roman" w:cs="Times New Roman"/>
          <w:lang w:val="en-US"/>
        </w:rPr>
        <w:t>statistics in order to reach out to specific group</w:t>
      </w:r>
      <w:r w:rsidR="008B2BCF">
        <w:rPr>
          <w:rFonts w:ascii="Times New Roman" w:eastAsia="Calibri" w:hAnsi="Times New Roman" w:cs="Times New Roman"/>
          <w:lang w:val="en-US"/>
        </w:rPr>
        <w:t>s</w:t>
      </w:r>
      <w:r w:rsidR="00960138">
        <w:rPr>
          <w:rFonts w:ascii="Times New Roman" w:eastAsia="Calibri" w:hAnsi="Times New Roman" w:cs="Times New Roman"/>
          <w:lang w:val="en-US"/>
        </w:rPr>
        <w:t xml:space="preserve"> of victims </w:t>
      </w:r>
      <w:r w:rsidR="00310002">
        <w:rPr>
          <w:rFonts w:ascii="Times New Roman" w:eastAsia="Calibri" w:hAnsi="Times New Roman" w:cs="Times New Roman"/>
          <w:lang w:val="en-US"/>
        </w:rPr>
        <w:t>(e.g. groups of victims</w:t>
      </w:r>
      <w:r w:rsidR="009C0C9F">
        <w:rPr>
          <w:rFonts w:ascii="Times New Roman" w:eastAsia="Calibri" w:hAnsi="Times New Roman" w:cs="Times New Roman"/>
          <w:lang w:val="en-US"/>
        </w:rPr>
        <w:t xml:space="preserve"> who are</w:t>
      </w:r>
      <w:r w:rsidR="00310002">
        <w:rPr>
          <w:rFonts w:ascii="Times New Roman" w:eastAsia="Calibri" w:hAnsi="Times New Roman" w:cs="Times New Roman"/>
          <w:lang w:val="en-US"/>
        </w:rPr>
        <w:t xml:space="preserve"> under-represented in the statistics)</w:t>
      </w:r>
    </w:p>
    <w:p w14:paraId="540A1959" w14:textId="13C4D9D4" w:rsidR="00125C3A" w:rsidRPr="00125C3A" w:rsidRDefault="00125C3A" w:rsidP="00125C3A">
      <w:pPr>
        <w:pStyle w:val="Listaszerbekezds"/>
        <w:numPr>
          <w:ilvl w:val="0"/>
          <w:numId w:val="2"/>
        </w:numPr>
        <w:jc w:val="both"/>
        <w:rPr>
          <w:rFonts w:ascii="Times New Roman" w:eastAsia="Calibri" w:hAnsi="Times New Roman" w:cs="Times New Roman"/>
          <w:lang w:val="en-US"/>
        </w:rPr>
      </w:pPr>
      <w:r>
        <w:rPr>
          <w:rFonts w:ascii="Times New Roman" w:eastAsia="Calibri" w:hAnsi="Times New Roman" w:cs="Times New Roman"/>
          <w:lang w:val="en-US"/>
        </w:rPr>
        <w:t>the best practices to reach out to victims, both</w:t>
      </w:r>
      <w:r w:rsidR="00EF61D6">
        <w:rPr>
          <w:rFonts w:ascii="Times New Roman" w:eastAsia="Calibri" w:hAnsi="Times New Roman" w:cs="Times New Roman"/>
          <w:lang w:val="en-US"/>
        </w:rPr>
        <w:t xml:space="preserve"> domestic and cross-border victims</w:t>
      </w:r>
      <w:r>
        <w:rPr>
          <w:rFonts w:ascii="Times New Roman" w:eastAsia="Calibri" w:hAnsi="Times New Roman" w:cs="Times New Roman"/>
          <w:lang w:val="en-US"/>
        </w:rPr>
        <w:t xml:space="preserve"> (the way of providing information to the potential applicants)</w:t>
      </w:r>
    </w:p>
    <w:p w14:paraId="4C1EA3BA" w14:textId="722C5E74" w:rsidR="00310002" w:rsidRDefault="00310002" w:rsidP="001375CD">
      <w:pPr>
        <w:pStyle w:val="Listaszerbekezds"/>
        <w:numPr>
          <w:ilvl w:val="0"/>
          <w:numId w:val="2"/>
        </w:numPr>
        <w:jc w:val="both"/>
        <w:rPr>
          <w:rFonts w:ascii="Times New Roman" w:eastAsia="Calibri" w:hAnsi="Times New Roman" w:cs="Times New Roman"/>
          <w:lang w:val="en-US"/>
        </w:rPr>
      </w:pPr>
      <w:r>
        <w:rPr>
          <w:rFonts w:ascii="Times New Roman" w:eastAsia="Calibri" w:hAnsi="Times New Roman" w:cs="Times New Roman"/>
          <w:lang w:val="en-US"/>
        </w:rPr>
        <w:t xml:space="preserve">if there is any information available on the usual / typical reasons of rejecting applications </w:t>
      </w:r>
    </w:p>
    <w:p w14:paraId="7A6F1ED8" w14:textId="4F6DB194" w:rsidR="00297A49" w:rsidRPr="00297A49" w:rsidRDefault="00297A49" w:rsidP="009C0C9F">
      <w:pPr>
        <w:pStyle w:val="Listaszerbekezds"/>
        <w:jc w:val="both"/>
        <w:rPr>
          <w:rFonts w:ascii="Times New Roman" w:eastAsia="Calibri" w:hAnsi="Times New Roman" w:cs="Times New Roman"/>
          <w:lang w:val="en-US"/>
        </w:rPr>
      </w:pPr>
    </w:p>
    <w:p w14:paraId="1003F340" w14:textId="7DD2EB83" w:rsidR="00297A49" w:rsidRDefault="001375CD" w:rsidP="001375CD">
      <w:pPr>
        <w:jc w:val="both"/>
        <w:rPr>
          <w:rFonts w:ascii="Times New Roman" w:eastAsia="Calibri" w:hAnsi="Times New Roman" w:cs="Times New Roman"/>
          <w:lang w:val="en-US"/>
        </w:rPr>
      </w:pPr>
      <w:r>
        <w:rPr>
          <w:rFonts w:ascii="Times New Roman" w:eastAsia="Calibri" w:hAnsi="Times New Roman" w:cs="Times New Roman"/>
          <w:lang w:val="en-US"/>
        </w:rPr>
        <w:t xml:space="preserve">The workshop moreover intends to discuss </w:t>
      </w:r>
      <w:r w:rsidR="008F70A6">
        <w:rPr>
          <w:rFonts w:ascii="Times New Roman" w:eastAsia="Calibri" w:hAnsi="Times New Roman" w:cs="Times New Roman"/>
          <w:lang w:val="en-US"/>
        </w:rPr>
        <w:t>in the context of cross-border cases</w:t>
      </w:r>
    </w:p>
    <w:p w14:paraId="644D2D88" w14:textId="07E7050F" w:rsidR="00125C3A" w:rsidRPr="008F70A6" w:rsidRDefault="008F70A6" w:rsidP="008F70A6">
      <w:pPr>
        <w:pStyle w:val="Listaszerbekezds"/>
        <w:numPr>
          <w:ilvl w:val="0"/>
          <w:numId w:val="2"/>
        </w:numPr>
        <w:jc w:val="both"/>
        <w:rPr>
          <w:rFonts w:ascii="Times New Roman" w:eastAsia="Calibri" w:hAnsi="Times New Roman" w:cs="Times New Roman"/>
          <w:lang w:val="en-US"/>
        </w:rPr>
      </w:pPr>
      <w:r w:rsidRPr="001375CD">
        <w:rPr>
          <w:rFonts w:ascii="Times New Roman" w:eastAsia="Calibri" w:hAnsi="Times New Roman" w:cs="Times New Roman"/>
          <w:lang w:val="en-US"/>
        </w:rPr>
        <w:t>the proportion of cross-border cases comparing to the total case numbers</w:t>
      </w:r>
    </w:p>
    <w:p w14:paraId="5FE3D24E" w14:textId="66E7C3BE" w:rsidR="001375CD" w:rsidRDefault="001375CD" w:rsidP="00297A49">
      <w:pPr>
        <w:pStyle w:val="Listaszerbekezds"/>
        <w:numPr>
          <w:ilvl w:val="0"/>
          <w:numId w:val="2"/>
        </w:numPr>
        <w:jc w:val="both"/>
        <w:rPr>
          <w:rFonts w:ascii="Times New Roman" w:eastAsia="Calibri" w:hAnsi="Times New Roman" w:cs="Times New Roman"/>
          <w:lang w:val="en-US"/>
        </w:rPr>
      </w:pPr>
      <w:r w:rsidRPr="00297A49">
        <w:rPr>
          <w:rFonts w:ascii="Times New Roman" w:eastAsia="Calibri" w:hAnsi="Times New Roman" w:cs="Times New Roman"/>
          <w:lang w:val="en-US"/>
        </w:rPr>
        <w:t>the possible reasons of lower number of cross-border cases</w:t>
      </w:r>
    </w:p>
    <w:p w14:paraId="5CA2AA61" w14:textId="63AB7C63" w:rsidR="00522A15" w:rsidRPr="00960138" w:rsidRDefault="008F70A6" w:rsidP="00960138">
      <w:pPr>
        <w:pStyle w:val="Listaszerbekezds"/>
        <w:numPr>
          <w:ilvl w:val="0"/>
          <w:numId w:val="2"/>
        </w:numPr>
        <w:jc w:val="both"/>
        <w:rPr>
          <w:rFonts w:ascii="Times New Roman" w:eastAsia="Calibri" w:hAnsi="Times New Roman" w:cs="Times New Roman"/>
          <w:lang w:val="en-US"/>
        </w:rPr>
      </w:pPr>
      <w:r>
        <w:rPr>
          <w:rFonts w:ascii="Times New Roman" w:eastAsia="Calibri" w:hAnsi="Times New Roman" w:cs="Times New Roman"/>
          <w:lang w:val="en-US"/>
        </w:rPr>
        <w:t>ideas for the solution, any good practice of managing concrete cross-border cases (e.g. effective communication with applicants,</w:t>
      </w:r>
      <w:r w:rsidR="005B0ECE">
        <w:rPr>
          <w:rFonts w:ascii="Times New Roman" w:eastAsia="Calibri" w:hAnsi="Times New Roman" w:cs="Times New Roman"/>
          <w:lang w:val="en-US"/>
        </w:rPr>
        <w:t xml:space="preserve"> measures to increase the number of cross-border cases,</w:t>
      </w:r>
      <w:r>
        <w:rPr>
          <w:rFonts w:ascii="Times New Roman" w:eastAsia="Calibri" w:hAnsi="Times New Roman" w:cs="Times New Roman"/>
          <w:lang w:val="en-US"/>
        </w:rPr>
        <w:t xml:space="preserve"> recognition of other countries’ medical documentation, etc.)</w:t>
      </w:r>
    </w:p>
    <w:p w14:paraId="62A12006" w14:textId="3F63C965" w:rsidR="003B4CFB" w:rsidRPr="00522A15" w:rsidRDefault="003B4CFB" w:rsidP="00522A15">
      <w:pPr>
        <w:pStyle w:val="Listaszerbekezds"/>
        <w:jc w:val="both"/>
        <w:rPr>
          <w:rFonts w:ascii="Times New Roman" w:eastAsia="Calibri" w:hAnsi="Times New Roman" w:cs="Times New Roman"/>
          <w:lang w:val="en-US"/>
        </w:rPr>
      </w:pPr>
    </w:p>
    <w:p w14:paraId="27900C7F" w14:textId="5C3C27CC" w:rsidR="00567940" w:rsidRDefault="00567940"/>
    <w:p w14:paraId="0ACF97C7" w14:textId="58FE5887" w:rsidR="00567940" w:rsidRDefault="00567940">
      <w:bookmarkStart w:id="0" w:name="_GoBack"/>
      <w:bookmarkEnd w:id="0"/>
    </w:p>
    <w:p w14:paraId="4CEA1885" w14:textId="595FDB81" w:rsidR="00567940" w:rsidRPr="00567940" w:rsidRDefault="00567940" w:rsidP="00567940">
      <w:pPr>
        <w:spacing w:after="0"/>
        <w:ind w:left="2832" w:firstLine="708"/>
        <w:rPr>
          <w:rFonts w:ascii="Times New Roman" w:eastAsia="Calibri" w:hAnsi="Times New Roman" w:cs="Times New Roman"/>
          <w:sz w:val="16"/>
          <w:szCs w:val="16"/>
          <w:lang w:val="en-GB"/>
        </w:rPr>
      </w:pPr>
      <w:r w:rsidRPr="00DA5656">
        <w:rPr>
          <w:noProof/>
          <w:color w:val="A6A6A6" w:themeColor="background1" w:themeShade="A6"/>
          <w:lang w:eastAsia="hu-HU"/>
        </w:rPr>
        <w:drawing>
          <wp:inline distT="0" distB="0" distL="0" distR="0" wp14:anchorId="62539124" wp14:editId="3AF407F1">
            <wp:extent cx="914400" cy="609600"/>
            <wp:effectExtent l="0" t="0" r="0" b="0"/>
            <wp:docPr id="2" name="Kép 2"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ropa.eu/european-union/sites/europaeu/files/docs/body/flag_yellow_lo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Pr="00567940">
        <w:rPr>
          <w:rFonts w:asciiTheme="majorHAnsi" w:hAnsiTheme="majorHAnsi" w:cstheme="majorHAnsi"/>
          <w:sz w:val="16"/>
          <w:szCs w:val="16"/>
          <w:lang w:val="en-GB"/>
        </w:rPr>
        <w:t xml:space="preserve"> </w:t>
      </w:r>
      <w:r w:rsidRPr="00567940">
        <w:rPr>
          <w:rFonts w:ascii="Times New Roman" w:hAnsi="Times New Roman" w:cs="Times New Roman"/>
          <w:sz w:val="16"/>
          <w:szCs w:val="16"/>
          <w:lang w:val="en-GB"/>
        </w:rPr>
        <w:t>Co-</w:t>
      </w:r>
      <w:r w:rsidRPr="00567940">
        <w:rPr>
          <w:rFonts w:ascii="Times New Roman" w:eastAsia="Calibri" w:hAnsi="Times New Roman" w:cs="Times New Roman"/>
          <w:sz w:val="16"/>
          <w:szCs w:val="16"/>
          <w:lang w:val="en-GB"/>
        </w:rPr>
        <w:t>funded by the</w:t>
      </w:r>
    </w:p>
    <w:p w14:paraId="4BBB8925" w14:textId="77777777" w:rsidR="00567940" w:rsidRPr="00567940" w:rsidRDefault="00567940" w:rsidP="00567940">
      <w:pPr>
        <w:autoSpaceDE w:val="0"/>
        <w:autoSpaceDN w:val="0"/>
        <w:spacing w:after="0"/>
        <w:jc w:val="both"/>
        <w:rPr>
          <w:rFonts w:ascii="Times New Roman" w:eastAsia="Calibri" w:hAnsi="Times New Roman" w:cs="Times New Roman"/>
          <w:sz w:val="16"/>
          <w:szCs w:val="16"/>
          <w:lang w:val="en-GB"/>
        </w:rPr>
      </w:pPr>
      <w:r w:rsidRPr="00567940">
        <w:rPr>
          <w:rFonts w:ascii="Times New Roman" w:eastAsia="Calibri" w:hAnsi="Times New Roman" w:cs="Times New Roman"/>
          <w:sz w:val="16"/>
          <w:szCs w:val="16"/>
          <w:lang w:val="en-GB"/>
        </w:rPr>
        <w:t xml:space="preserve">             </w:t>
      </w:r>
      <w:r w:rsidRPr="00567940">
        <w:rPr>
          <w:rFonts w:ascii="Times New Roman" w:eastAsia="Calibri" w:hAnsi="Times New Roman" w:cs="Times New Roman"/>
          <w:sz w:val="16"/>
          <w:szCs w:val="16"/>
          <w:lang w:val="en-GB"/>
        </w:rPr>
        <w:tab/>
      </w:r>
      <w:r w:rsidRPr="00567940">
        <w:rPr>
          <w:rFonts w:ascii="Times New Roman" w:eastAsia="Calibri" w:hAnsi="Times New Roman" w:cs="Times New Roman"/>
          <w:sz w:val="16"/>
          <w:szCs w:val="16"/>
          <w:lang w:val="en-GB"/>
        </w:rPr>
        <w:tab/>
      </w:r>
      <w:r w:rsidRPr="00567940">
        <w:rPr>
          <w:rFonts w:ascii="Times New Roman" w:eastAsia="Calibri" w:hAnsi="Times New Roman" w:cs="Times New Roman"/>
          <w:sz w:val="16"/>
          <w:szCs w:val="16"/>
          <w:lang w:val="en-GB"/>
        </w:rPr>
        <w:tab/>
      </w:r>
      <w:r w:rsidRPr="00567940">
        <w:rPr>
          <w:rFonts w:ascii="Times New Roman" w:eastAsia="Calibri" w:hAnsi="Times New Roman" w:cs="Times New Roman"/>
          <w:sz w:val="16"/>
          <w:szCs w:val="16"/>
          <w:lang w:val="en-GB"/>
        </w:rPr>
        <w:tab/>
      </w:r>
      <w:r w:rsidRPr="00567940">
        <w:rPr>
          <w:rFonts w:ascii="Times New Roman" w:eastAsia="Calibri" w:hAnsi="Times New Roman" w:cs="Times New Roman"/>
          <w:sz w:val="16"/>
          <w:szCs w:val="16"/>
          <w:lang w:val="en-GB"/>
        </w:rPr>
        <w:tab/>
        <w:t>European Union’s Justice Programme</w:t>
      </w:r>
    </w:p>
    <w:p w14:paraId="748940AE" w14:textId="77777777" w:rsidR="00567940" w:rsidRPr="00567940" w:rsidRDefault="00567940" w:rsidP="00567940">
      <w:pPr>
        <w:jc w:val="both"/>
        <w:rPr>
          <w:rFonts w:ascii="Times New Roman" w:hAnsi="Times New Roman" w:cs="Times New Roman"/>
          <w:lang w:val="en-GB"/>
        </w:rPr>
      </w:pPr>
    </w:p>
    <w:p w14:paraId="50835729" w14:textId="5D3B437B" w:rsidR="00567940" w:rsidRPr="00567940" w:rsidRDefault="00567940" w:rsidP="00567940">
      <w:pPr>
        <w:jc w:val="both"/>
        <w:rPr>
          <w:rFonts w:ascii="Times New Roman" w:hAnsi="Times New Roman" w:cs="Times New Roman"/>
          <w:sz w:val="16"/>
          <w:szCs w:val="16"/>
          <w:lang w:val="en-GB"/>
        </w:rPr>
      </w:pPr>
      <w:r w:rsidRPr="00567940">
        <w:rPr>
          <w:rFonts w:ascii="Times New Roman" w:hAnsi="Times New Roman" w:cs="Times New Roman"/>
          <w:sz w:val="16"/>
          <w:szCs w:val="16"/>
          <w:lang w:val="en-GB"/>
        </w:rPr>
        <w:t>DISCLAIMER: The content of this discussion paper represents the views of the author only and it is his/her sole responsibility; it cannot be considered to reflect the views of the European Commission or any other body of the European Union. The European Commission does not accept any responsibility for use that may be made of the information it contain</w:t>
      </w:r>
      <w:r>
        <w:rPr>
          <w:rFonts w:ascii="Times New Roman" w:hAnsi="Times New Roman" w:cs="Times New Roman"/>
          <w:sz w:val="16"/>
          <w:szCs w:val="16"/>
          <w:lang w:val="en-GB"/>
        </w:rPr>
        <w:t>s</w:t>
      </w:r>
      <w:r w:rsidRPr="00567940">
        <w:rPr>
          <w:rFonts w:ascii="Times New Roman" w:hAnsi="Times New Roman" w:cs="Times New Roman"/>
          <w:sz w:val="16"/>
          <w:szCs w:val="16"/>
          <w:lang w:val="en-GB"/>
        </w:rPr>
        <w:t>.</w:t>
      </w:r>
    </w:p>
    <w:p w14:paraId="30970577" w14:textId="59B394C9" w:rsidR="00567940" w:rsidRPr="00567940" w:rsidRDefault="00567940" w:rsidP="00567940">
      <w:pPr>
        <w:jc w:val="center"/>
        <w:rPr>
          <w:rFonts w:ascii="Times New Roman" w:hAnsi="Times New Roman" w:cs="Times New Roman"/>
        </w:rPr>
      </w:pPr>
    </w:p>
    <w:sectPr w:rsidR="00567940" w:rsidRPr="00567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6A5C2" w14:textId="77777777" w:rsidR="00596CCC" w:rsidRDefault="00596CCC" w:rsidP="00377C5D">
      <w:pPr>
        <w:spacing w:after="0" w:line="240" w:lineRule="auto"/>
      </w:pPr>
      <w:r>
        <w:separator/>
      </w:r>
    </w:p>
  </w:endnote>
  <w:endnote w:type="continuationSeparator" w:id="0">
    <w:p w14:paraId="393FED58" w14:textId="77777777" w:rsidR="00596CCC" w:rsidRDefault="00596CCC" w:rsidP="0037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9EC1C" w14:textId="77777777" w:rsidR="00596CCC" w:rsidRDefault="00596CCC" w:rsidP="00377C5D">
      <w:pPr>
        <w:spacing w:after="0" w:line="240" w:lineRule="auto"/>
      </w:pPr>
      <w:r>
        <w:separator/>
      </w:r>
    </w:p>
  </w:footnote>
  <w:footnote w:type="continuationSeparator" w:id="0">
    <w:p w14:paraId="79EA2398" w14:textId="77777777" w:rsidR="00596CCC" w:rsidRDefault="00596CCC" w:rsidP="00377C5D">
      <w:pPr>
        <w:spacing w:after="0" w:line="240" w:lineRule="auto"/>
      </w:pPr>
      <w:r>
        <w:continuationSeparator/>
      </w:r>
    </w:p>
  </w:footnote>
  <w:footnote w:id="1">
    <w:p w14:paraId="7C1E232F" w14:textId="77777777" w:rsidR="00377C5D" w:rsidRPr="008B2BCF" w:rsidRDefault="00377C5D" w:rsidP="00377C5D">
      <w:pPr>
        <w:pStyle w:val="Lbjegyzetszveg"/>
        <w:rPr>
          <w:rFonts w:ascii="Times New Roman" w:hAnsi="Times New Roman"/>
          <w:sz w:val="16"/>
          <w:szCs w:val="16"/>
          <w:lang w:val="en-GB"/>
        </w:rPr>
      </w:pPr>
      <w:r w:rsidRPr="008B2BCF">
        <w:rPr>
          <w:rStyle w:val="Lbjegyzet-hivatkozs"/>
          <w:rFonts w:ascii="Times New Roman" w:hAnsi="Times New Roman"/>
          <w:sz w:val="16"/>
          <w:szCs w:val="16"/>
        </w:rPr>
        <w:footnoteRef/>
      </w:r>
      <w:r w:rsidRPr="008B2BCF">
        <w:rPr>
          <w:rFonts w:ascii="Times New Roman" w:hAnsi="Times New Roman"/>
          <w:sz w:val="16"/>
          <w:szCs w:val="16"/>
          <w:lang w:val="en-US"/>
        </w:rPr>
        <w:t xml:space="preserve"> </w:t>
      </w:r>
      <w:r w:rsidRPr="008B2BCF">
        <w:rPr>
          <w:rFonts w:ascii="Times New Roman" w:hAnsi="Times New Roman"/>
          <w:sz w:val="16"/>
          <w:szCs w:val="16"/>
          <w:lang w:val="en-GB"/>
        </w:rPr>
        <w:t>Council Directive 2004/80/EC relating to compensation to victims of crime</w:t>
      </w:r>
    </w:p>
  </w:footnote>
  <w:footnote w:id="2">
    <w:p w14:paraId="2B38C9B2" w14:textId="77777777" w:rsidR="00377C5D" w:rsidRPr="008B2BCF" w:rsidRDefault="00377C5D" w:rsidP="00377C5D">
      <w:pPr>
        <w:pStyle w:val="Lbjegyzetszveg"/>
        <w:rPr>
          <w:rFonts w:ascii="Times New Roman" w:hAnsi="Times New Roman"/>
          <w:sz w:val="16"/>
          <w:szCs w:val="16"/>
          <w:lang w:val="en-GB"/>
        </w:rPr>
      </w:pPr>
      <w:r w:rsidRPr="008B2BCF">
        <w:rPr>
          <w:rStyle w:val="Lbjegyzet-hivatkozs"/>
          <w:rFonts w:ascii="Times New Roman" w:hAnsi="Times New Roman"/>
          <w:sz w:val="16"/>
          <w:szCs w:val="16"/>
        </w:rPr>
        <w:footnoteRef/>
      </w:r>
      <w:r w:rsidRPr="008B2BCF">
        <w:rPr>
          <w:rFonts w:ascii="Times New Roman" w:hAnsi="Times New Roman"/>
          <w:sz w:val="16"/>
          <w:szCs w:val="16"/>
          <w:lang w:val="en-GB"/>
        </w:rPr>
        <w:t xml:space="preserve"> </w:t>
      </w:r>
      <w:r w:rsidRPr="008B2BCF">
        <w:rPr>
          <w:rFonts w:ascii="Times New Roman" w:hAnsi="Times New Roman"/>
          <w:sz w:val="16"/>
          <w:szCs w:val="16"/>
          <w:lang w:val="en-US"/>
        </w:rPr>
        <w:t>Directive 2012/29/EU establishing minimum standards on rights support and protection of victims of crime</w:t>
      </w:r>
    </w:p>
  </w:footnote>
  <w:footnote w:id="3">
    <w:p w14:paraId="7A3DB46E" w14:textId="463D8D8B" w:rsidR="00BD7912" w:rsidRDefault="00BD7912">
      <w:pPr>
        <w:pStyle w:val="Lbjegyzetszveg"/>
        <w:rPr>
          <w:rFonts w:ascii="Times New Roman" w:hAnsi="Times New Roman"/>
          <w:sz w:val="16"/>
          <w:szCs w:val="16"/>
        </w:rPr>
      </w:pPr>
      <w:r w:rsidRPr="008B2BCF">
        <w:rPr>
          <w:rStyle w:val="Lbjegyzet-hivatkozs"/>
          <w:rFonts w:ascii="Times New Roman" w:hAnsi="Times New Roman"/>
          <w:sz w:val="16"/>
          <w:szCs w:val="16"/>
        </w:rPr>
        <w:footnoteRef/>
      </w:r>
      <w:r w:rsidRPr="008B2BCF">
        <w:rPr>
          <w:rFonts w:ascii="Times New Roman" w:hAnsi="Times New Roman"/>
          <w:sz w:val="16"/>
          <w:szCs w:val="16"/>
        </w:rPr>
        <w:t xml:space="preserve"> </w:t>
      </w:r>
      <w:hyperlink r:id="rId1" w:history="1">
        <w:r w:rsidR="008B2BCF" w:rsidRPr="002A309D">
          <w:rPr>
            <w:rStyle w:val="Hiperhivatkozs"/>
            <w:rFonts w:ascii="Times New Roman" w:hAnsi="Times New Roman"/>
            <w:sz w:val="16"/>
            <w:szCs w:val="16"/>
          </w:rPr>
          <w:t>https://eur-lex.europa.eu/legal-content/EN/TXT/PDF/?uri=CELEX:52020DC0258&amp;from=EN</w:t>
        </w:r>
      </w:hyperlink>
    </w:p>
    <w:p w14:paraId="7ED2E985" w14:textId="77777777" w:rsidR="008B2BCF" w:rsidRPr="008B2BCF" w:rsidRDefault="008B2BCF">
      <w:pPr>
        <w:pStyle w:val="Lbjegyzetszveg"/>
        <w:rPr>
          <w:rFonts w:ascii="Times New Roman" w:hAnsi="Times New Roman"/>
          <w:sz w:val="16"/>
          <w:szCs w:val="16"/>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D10"/>
    <w:multiLevelType w:val="hybridMultilevel"/>
    <w:tmpl w:val="32DC7054"/>
    <w:lvl w:ilvl="0" w:tplc="CF0A62E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63B6B5F"/>
    <w:multiLevelType w:val="hybridMultilevel"/>
    <w:tmpl w:val="13FC09BA"/>
    <w:lvl w:ilvl="0" w:tplc="B17C6ED4">
      <w:start w:val="20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5D"/>
    <w:rsid w:val="00025212"/>
    <w:rsid w:val="00072642"/>
    <w:rsid w:val="00125C3A"/>
    <w:rsid w:val="001375CD"/>
    <w:rsid w:val="00297A49"/>
    <w:rsid w:val="002E24CE"/>
    <w:rsid w:val="00302519"/>
    <w:rsid w:val="00310002"/>
    <w:rsid w:val="00377C5D"/>
    <w:rsid w:val="00377EE3"/>
    <w:rsid w:val="003B4CFB"/>
    <w:rsid w:val="00435D03"/>
    <w:rsid w:val="00522A15"/>
    <w:rsid w:val="00554285"/>
    <w:rsid w:val="00567940"/>
    <w:rsid w:val="00596CCC"/>
    <w:rsid w:val="005A503B"/>
    <w:rsid w:val="005B0ECE"/>
    <w:rsid w:val="005E6A06"/>
    <w:rsid w:val="00685DA5"/>
    <w:rsid w:val="006D00FF"/>
    <w:rsid w:val="00892212"/>
    <w:rsid w:val="008B2BCF"/>
    <w:rsid w:val="008E292D"/>
    <w:rsid w:val="008F70A6"/>
    <w:rsid w:val="00960138"/>
    <w:rsid w:val="00983DA2"/>
    <w:rsid w:val="009C0C9F"/>
    <w:rsid w:val="00AB0DAA"/>
    <w:rsid w:val="00BA5017"/>
    <w:rsid w:val="00BD7912"/>
    <w:rsid w:val="00C06901"/>
    <w:rsid w:val="00CA7CE1"/>
    <w:rsid w:val="00CF61B6"/>
    <w:rsid w:val="00D755DB"/>
    <w:rsid w:val="00DA4543"/>
    <w:rsid w:val="00DD06E3"/>
    <w:rsid w:val="00EF61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7C5D"/>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377C5D"/>
    <w:pPr>
      <w:spacing w:after="0" w:line="240" w:lineRule="auto"/>
    </w:pPr>
    <w:rPr>
      <w:rFonts w:ascii="Calibri" w:eastAsia="Calibri" w:hAnsi="Calibri" w:cs="Times New Roman"/>
      <w:sz w:val="20"/>
      <w:szCs w:val="20"/>
      <w:lang w:val="nl-NL"/>
    </w:rPr>
  </w:style>
  <w:style w:type="character" w:customStyle="1" w:styleId="LbjegyzetszvegChar">
    <w:name w:val="Lábjegyzetszöveg Char"/>
    <w:basedOn w:val="Bekezdsalapbettpusa"/>
    <w:link w:val="Lbjegyzetszveg"/>
    <w:uiPriority w:val="99"/>
    <w:rsid w:val="00377C5D"/>
    <w:rPr>
      <w:rFonts w:ascii="Calibri" w:eastAsia="Calibri" w:hAnsi="Calibri" w:cs="Times New Roman"/>
      <w:sz w:val="20"/>
      <w:szCs w:val="20"/>
      <w:lang w:val="nl-NL"/>
    </w:rPr>
  </w:style>
  <w:style w:type="character" w:styleId="Lbjegyzet-hivatkozs">
    <w:name w:val="footnote reference"/>
    <w:basedOn w:val="Bekezdsalapbettpusa"/>
    <w:uiPriority w:val="99"/>
    <w:unhideWhenUsed/>
    <w:rsid w:val="00377C5D"/>
    <w:rPr>
      <w:vertAlign w:val="superscript"/>
    </w:rPr>
  </w:style>
  <w:style w:type="paragraph" w:styleId="Listaszerbekezds">
    <w:name w:val="List Paragraph"/>
    <w:basedOn w:val="Norml"/>
    <w:uiPriority w:val="34"/>
    <w:qFormat/>
    <w:rsid w:val="001375CD"/>
    <w:pPr>
      <w:ind w:left="720"/>
      <w:contextualSpacing/>
    </w:pPr>
  </w:style>
  <w:style w:type="character" w:styleId="Hiperhivatkozs">
    <w:name w:val="Hyperlink"/>
    <w:basedOn w:val="Bekezdsalapbettpusa"/>
    <w:uiPriority w:val="99"/>
    <w:unhideWhenUsed/>
    <w:rsid w:val="008B2BCF"/>
    <w:rPr>
      <w:color w:val="0563C1" w:themeColor="hyperlink"/>
      <w:u w:val="single"/>
    </w:rPr>
  </w:style>
  <w:style w:type="character" w:customStyle="1" w:styleId="UnresolvedMention">
    <w:name w:val="Unresolved Mention"/>
    <w:basedOn w:val="Bekezdsalapbettpusa"/>
    <w:uiPriority w:val="99"/>
    <w:semiHidden/>
    <w:unhideWhenUsed/>
    <w:rsid w:val="008B2BCF"/>
    <w:rPr>
      <w:color w:val="605E5C"/>
      <w:shd w:val="clear" w:color="auto" w:fill="E1DFDD"/>
    </w:rPr>
  </w:style>
  <w:style w:type="paragraph" w:styleId="Buborkszveg">
    <w:name w:val="Balloon Text"/>
    <w:basedOn w:val="Norml"/>
    <w:link w:val="BuborkszvegChar"/>
    <w:uiPriority w:val="99"/>
    <w:semiHidden/>
    <w:unhideWhenUsed/>
    <w:rsid w:val="00D755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5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7C5D"/>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377C5D"/>
    <w:pPr>
      <w:spacing w:after="0" w:line="240" w:lineRule="auto"/>
    </w:pPr>
    <w:rPr>
      <w:rFonts w:ascii="Calibri" w:eastAsia="Calibri" w:hAnsi="Calibri" w:cs="Times New Roman"/>
      <w:sz w:val="20"/>
      <w:szCs w:val="20"/>
      <w:lang w:val="nl-NL"/>
    </w:rPr>
  </w:style>
  <w:style w:type="character" w:customStyle="1" w:styleId="LbjegyzetszvegChar">
    <w:name w:val="Lábjegyzetszöveg Char"/>
    <w:basedOn w:val="Bekezdsalapbettpusa"/>
    <w:link w:val="Lbjegyzetszveg"/>
    <w:uiPriority w:val="99"/>
    <w:rsid w:val="00377C5D"/>
    <w:rPr>
      <w:rFonts w:ascii="Calibri" w:eastAsia="Calibri" w:hAnsi="Calibri" w:cs="Times New Roman"/>
      <w:sz w:val="20"/>
      <w:szCs w:val="20"/>
      <w:lang w:val="nl-NL"/>
    </w:rPr>
  </w:style>
  <w:style w:type="character" w:styleId="Lbjegyzet-hivatkozs">
    <w:name w:val="footnote reference"/>
    <w:basedOn w:val="Bekezdsalapbettpusa"/>
    <w:uiPriority w:val="99"/>
    <w:unhideWhenUsed/>
    <w:rsid w:val="00377C5D"/>
    <w:rPr>
      <w:vertAlign w:val="superscript"/>
    </w:rPr>
  </w:style>
  <w:style w:type="paragraph" w:styleId="Listaszerbekezds">
    <w:name w:val="List Paragraph"/>
    <w:basedOn w:val="Norml"/>
    <w:uiPriority w:val="34"/>
    <w:qFormat/>
    <w:rsid w:val="001375CD"/>
    <w:pPr>
      <w:ind w:left="720"/>
      <w:contextualSpacing/>
    </w:pPr>
  </w:style>
  <w:style w:type="character" w:styleId="Hiperhivatkozs">
    <w:name w:val="Hyperlink"/>
    <w:basedOn w:val="Bekezdsalapbettpusa"/>
    <w:uiPriority w:val="99"/>
    <w:unhideWhenUsed/>
    <w:rsid w:val="008B2BCF"/>
    <w:rPr>
      <w:color w:val="0563C1" w:themeColor="hyperlink"/>
      <w:u w:val="single"/>
    </w:rPr>
  </w:style>
  <w:style w:type="character" w:customStyle="1" w:styleId="UnresolvedMention">
    <w:name w:val="Unresolved Mention"/>
    <w:basedOn w:val="Bekezdsalapbettpusa"/>
    <w:uiPriority w:val="99"/>
    <w:semiHidden/>
    <w:unhideWhenUsed/>
    <w:rsid w:val="008B2BCF"/>
    <w:rPr>
      <w:color w:val="605E5C"/>
      <w:shd w:val="clear" w:color="auto" w:fill="E1DFDD"/>
    </w:rPr>
  </w:style>
  <w:style w:type="paragraph" w:styleId="Buborkszveg">
    <w:name w:val="Balloon Text"/>
    <w:basedOn w:val="Norml"/>
    <w:link w:val="BuborkszvegChar"/>
    <w:uiPriority w:val="99"/>
    <w:semiHidden/>
    <w:unhideWhenUsed/>
    <w:rsid w:val="00D755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5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20DC0258&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840F-3DBF-497E-8F27-1B49E086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3364</Characters>
  <Application>Microsoft Office Word</Application>
  <DocSecurity>0</DocSecurity>
  <Lines>28</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ferenczianiella@gmail.com</dc:creator>
  <cp:lastModifiedBy>Barta Gábor dr.</cp:lastModifiedBy>
  <cp:revision>2</cp:revision>
  <dcterms:created xsi:type="dcterms:W3CDTF">2022-05-19T07:17:00Z</dcterms:created>
  <dcterms:modified xsi:type="dcterms:W3CDTF">2022-05-19T07:17:00Z</dcterms:modified>
</cp:coreProperties>
</file>